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F69DE" w14:textId="1D5E33D1" w:rsidR="00FB1F89" w:rsidRPr="004C700A" w:rsidRDefault="008217DC">
      <w:pPr>
        <w:spacing w:after="300"/>
        <w:ind w:left="-630" w:right="-105"/>
        <w:jc w:val="center"/>
        <w:rPr>
          <w:rFonts w:ascii="Calibri" w:eastAsia="Noto Sans JP" w:hAnsi="Calibri" w:cs="Calibri"/>
          <w:b/>
          <w:bCs/>
          <w:sz w:val="56"/>
          <w:szCs w:val="56"/>
        </w:rPr>
      </w:pPr>
      <w:r w:rsidRPr="004C700A">
        <w:rPr>
          <w:rFonts w:ascii="Calibri" w:eastAsia="Noto Sans JP" w:hAnsi="Calibri" w:cs="Calibri"/>
          <w:b/>
          <w:bCs/>
          <w:sz w:val="32"/>
          <w:szCs w:val="32"/>
        </w:rPr>
        <w:t xml:space="preserve">Bélanger </w:t>
      </w:r>
      <w:r w:rsidR="007C6028">
        <w:rPr>
          <w:rFonts w:ascii="Calibri" w:eastAsia="Noto Sans JP" w:hAnsi="Calibri" w:cs="Calibri"/>
          <w:b/>
          <w:bCs/>
          <w:sz w:val="32"/>
          <w:szCs w:val="32"/>
        </w:rPr>
        <w:t>Launches Symbio</w:t>
      </w:r>
      <w:r w:rsidRPr="004C700A">
        <w:rPr>
          <w:rFonts w:ascii="Calibri" w:eastAsia="Noto Sans JP" w:hAnsi="Calibri" w:cs="Calibri"/>
          <w:b/>
          <w:bCs/>
          <w:sz w:val="32"/>
          <w:szCs w:val="32"/>
        </w:rPr>
        <w:t xml:space="preserve">: A </w:t>
      </w:r>
      <w:r w:rsidR="007C6028">
        <w:rPr>
          <w:rFonts w:ascii="Calibri" w:eastAsia="Noto Sans JP" w:hAnsi="Calibri" w:cs="Calibri"/>
          <w:b/>
          <w:bCs/>
          <w:sz w:val="32"/>
          <w:szCs w:val="32"/>
        </w:rPr>
        <w:t>Full, Modern Bath Collection with Dual Finishes, Brass Construction, and a Channeling Design</w:t>
      </w:r>
    </w:p>
    <w:p w14:paraId="73A5CF92" w14:textId="0F3D40C5" w:rsidR="007C6028" w:rsidRPr="007C6028" w:rsidRDefault="008217DC" w:rsidP="007C6028">
      <w:pPr>
        <w:spacing w:after="200"/>
        <w:ind w:left="-1166" w:right="-821"/>
        <w:rPr>
          <w:rFonts w:ascii="Calibri" w:eastAsia="Noto Sans JP" w:hAnsi="Calibri" w:cs="Calibri"/>
          <w:sz w:val="22"/>
          <w:szCs w:val="22"/>
        </w:rPr>
      </w:pPr>
      <w:r w:rsidRPr="006152B4">
        <w:rPr>
          <w:rFonts w:ascii="Calibri" w:eastAsia="Noto Sans JP" w:hAnsi="Calibri" w:cs="Calibri"/>
          <w:b/>
          <w:bCs/>
          <w:color w:val="000000" w:themeColor="text1"/>
          <w:sz w:val="20"/>
          <w:szCs w:val="20"/>
        </w:rPr>
        <w:t xml:space="preserve">MONTREAL, QC, </w:t>
      </w:r>
      <w:r w:rsidR="007C6028" w:rsidRPr="006152B4">
        <w:rPr>
          <w:rFonts w:ascii="Calibri" w:eastAsia="Noto Sans JP" w:hAnsi="Calibri" w:cs="Calibri"/>
          <w:b/>
          <w:bCs/>
          <w:color w:val="000000" w:themeColor="text1"/>
          <w:sz w:val="20"/>
          <w:szCs w:val="20"/>
        </w:rPr>
        <w:t xml:space="preserve">JULY </w:t>
      </w:r>
      <w:r w:rsidR="00CD7BC7">
        <w:rPr>
          <w:rFonts w:ascii="Calibri" w:eastAsia="Noto Sans JP" w:hAnsi="Calibri" w:cs="Calibri"/>
          <w:b/>
          <w:bCs/>
          <w:color w:val="000000" w:themeColor="text1"/>
          <w:sz w:val="20"/>
          <w:szCs w:val="20"/>
        </w:rPr>
        <w:t>30</w:t>
      </w:r>
      <w:r w:rsidRPr="006152B4">
        <w:rPr>
          <w:rFonts w:ascii="Calibri" w:eastAsia="Noto Sans JP" w:hAnsi="Calibri" w:cs="Calibri"/>
          <w:b/>
          <w:bCs/>
          <w:color w:val="000000" w:themeColor="text1"/>
          <w:sz w:val="20"/>
          <w:szCs w:val="20"/>
        </w:rPr>
        <w:t>, 2026</w:t>
      </w:r>
      <w:r w:rsidRPr="006152B4">
        <w:rPr>
          <w:rFonts w:ascii="Calibri" w:eastAsia="Noto Sans JP" w:hAnsi="Calibri" w:cs="Calibri"/>
          <w:color w:val="000000" w:themeColor="text1"/>
          <w:sz w:val="22"/>
          <w:szCs w:val="22"/>
        </w:rPr>
        <w:t xml:space="preserve"> </w:t>
      </w:r>
      <w:r w:rsidRPr="004C700A">
        <w:rPr>
          <w:rFonts w:ascii="Calibri" w:eastAsia="Noto Sans JP" w:hAnsi="Calibri" w:cs="Calibri"/>
          <w:sz w:val="22"/>
          <w:szCs w:val="22"/>
        </w:rPr>
        <w:t xml:space="preserve">— </w:t>
      </w:r>
      <w:r w:rsidR="007C6028" w:rsidRPr="007C6028">
        <w:rPr>
          <w:rFonts w:ascii="Calibri" w:eastAsia="Noto Sans JP" w:hAnsi="Calibri" w:cs="Calibri"/>
          <w:sz w:val="22"/>
          <w:szCs w:val="22"/>
        </w:rPr>
        <w:t>Bélanger announces the launch of Symbio, a complete bathroom collection defined by dual-finish details, full-brass construction, and a refined channeling design. Elevated, minimalistic, and cohesive, Symbio brings a polished architectural presence to the modern bathroom.</w:t>
      </w:r>
    </w:p>
    <w:p w14:paraId="2C2A096F" w14:textId="77777777" w:rsidR="007C6028" w:rsidRDefault="007C6028" w:rsidP="007C6028">
      <w:pPr>
        <w:spacing w:after="100"/>
        <w:ind w:left="-1166" w:right="-821"/>
        <w:rPr>
          <w:rFonts w:ascii="Calibri" w:eastAsia="Noto Sans JP" w:hAnsi="Calibri" w:cs="Calibri"/>
          <w:sz w:val="22"/>
          <w:szCs w:val="22"/>
        </w:rPr>
      </w:pPr>
      <w:r w:rsidRPr="007C6028">
        <w:rPr>
          <w:rFonts w:ascii="Calibri" w:eastAsia="Noto Sans JP" w:hAnsi="Calibri" w:cs="Calibri"/>
          <w:sz w:val="22"/>
          <w:szCs w:val="22"/>
        </w:rPr>
        <w:t xml:space="preserve">The collection is offered in three dual-finish combinations: </w:t>
      </w:r>
    </w:p>
    <w:p w14:paraId="04FA3FE1" w14:textId="0F714E24" w:rsidR="007C6028" w:rsidRPr="007C6028" w:rsidRDefault="007C6028" w:rsidP="007C6028">
      <w:pPr>
        <w:pStyle w:val="ListParagraph"/>
        <w:numPr>
          <w:ilvl w:val="0"/>
          <w:numId w:val="1"/>
        </w:numPr>
        <w:spacing w:after="100"/>
        <w:ind w:left="-810" w:right="-821"/>
        <w:contextualSpacing w:val="0"/>
        <w:rPr>
          <w:rFonts w:ascii="Calibri" w:eastAsia="Noto Sans JP" w:hAnsi="Calibri" w:cs="Calibri"/>
          <w:sz w:val="22"/>
          <w:szCs w:val="22"/>
        </w:rPr>
      </w:pPr>
      <w:r w:rsidRPr="007C6028">
        <w:rPr>
          <w:rFonts w:ascii="Calibri" w:eastAsia="Noto Sans JP" w:hAnsi="Calibri" w:cs="Calibri"/>
          <w:sz w:val="22"/>
          <w:szCs w:val="22"/>
        </w:rPr>
        <w:t>Polished Chrome with Brushed Chrome accents;</w:t>
      </w:r>
    </w:p>
    <w:p w14:paraId="560C733B" w14:textId="77777777" w:rsidR="007C6028" w:rsidRPr="007C6028" w:rsidRDefault="007C6028" w:rsidP="007C6028">
      <w:pPr>
        <w:pStyle w:val="ListParagraph"/>
        <w:numPr>
          <w:ilvl w:val="0"/>
          <w:numId w:val="1"/>
        </w:numPr>
        <w:spacing w:after="100"/>
        <w:ind w:left="-810" w:right="-821"/>
        <w:contextualSpacing w:val="0"/>
        <w:rPr>
          <w:rFonts w:ascii="Calibri" w:eastAsia="Noto Sans JP" w:hAnsi="Calibri" w:cs="Calibri"/>
          <w:sz w:val="22"/>
          <w:szCs w:val="22"/>
        </w:rPr>
      </w:pPr>
      <w:r w:rsidRPr="007C6028">
        <w:rPr>
          <w:rFonts w:ascii="Calibri" w:eastAsia="Noto Sans JP" w:hAnsi="Calibri" w:cs="Calibri"/>
          <w:sz w:val="22"/>
          <w:szCs w:val="22"/>
        </w:rPr>
        <w:t xml:space="preserve">Brushed Nickel with Polished Nickel accents; and </w:t>
      </w:r>
    </w:p>
    <w:p w14:paraId="38EE9B77" w14:textId="77777777" w:rsidR="007C6028" w:rsidRPr="007C6028" w:rsidRDefault="007C6028" w:rsidP="007C6028">
      <w:pPr>
        <w:pStyle w:val="ListParagraph"/>
        <w:numPr>
          <w:ilvl w:val="0"/>
          <w:numId w:val="1"/>
        </w:numPr>
        <w:spacing w:after="200"/>
        <w:ind w:left="-810" w:right="-821"/>
        <w:rPr>
          <w:rFonts w:ascii="Calibri" w:eastAsia="Noto Sans JP" w:hAnsi="Calibri" w:cs="Calibri"/>
          <w:sz w:val="22"/>
          <w:szCs w:val="22"/>
        </w:rPr>
      </w:pPr>
      <w:r w:rsidRPr="007C6028">
        <w:rPr>
          <w:rFonts w:ascii="Calibri" w:eastAsia="Noto Sans JP" w:hAnsi="Calibri" w:cs="Calibri"/>
          <w:sz w:val="22"/>
          <w:szCs w:val="22"/>
        </w:rPr>
        <w:t xml:space="preserve">Matte Black with Gloss Black accents. </w:t>
      </w:r>
    </w:p>
    <w:p w14:paraId="3B191358" w14:textId="36AD7F04"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These pairings add depth and contrast while maintaining a clean, unified design language.</w:t>
      </w:r>
    </w:p>
    <w:p w14:paraId="0717DFA7" w14:textId="357539C5" w:rsidR="00E9439E" w:rsidRDefault="00E9439E" w:rsidP="00E9439E">
      <w:pPr>
        <w:spacing w:after="100"/>
        <w:ind w:left="-1166" w:right="-821"/>
        <w:rPr>
          <w:rFonts w:ascii="Calibri" w:eastAsia="Noto Sans JP" w:hAnsi="Calibri" w:cs="Calibri"/>
          <w:sz w:val="22"/>
          <w:szCs w:val="22"/>
        </w:rPr>
      </w:pPr>
      <w:r>
        <w:rPr>
          <w:rFonts w:ascii="Calibri" w:eastAsia="Noto Sans JP" w:hAnsi="Calibri" w:cs="Calibri"/>
          <w:sz w:val="22"/>
          <w:szCs w:val="22"/>
        </w:rPr>
        <w:t xml:space="preserve">The </w:t>
      </w:r>
      <w:r w:rsidR="007C6028" w:rsidRPr="007C6028">
        <w:rPr>
          <w:rFonts w:ascii="Calibri" w:eastAsia="Noto Sans JP" w:hAnsi="Calibri" w:cs="Calibri"/>
          <w:sz w:val="22"/>
          <w:szCs w:val="22"/>
        </w:rPr>
        <w:t>Symbio</w:t>
      </w:r>
      <w:r>
        <w:rPr>
          <w:rFonts w:ascii="Calibri" w:eastAsia="Noto Sans JP" w:hAnsi="Calibri" w:cs="Calibri"/>
          <w:sz w:val="22"/>
          <w:szCs w:val="22"/>
        </w:rPr>
        <w:t xml:space="preserve"> Collection</w:t>
      </w:r>
      <w:r w:rsidR="007C6028" w:rsidRPr="007C6028">
        <w:rPr>
          <w:rFonts w:ascii="Calibri" w:eastAsia="Noto Sans JP" w:hAnsi="Calibri" w:cs="Calibri"/>
          <w:sz w:val="22"/>
          <w:szCs w:val="22"/>
        </w:rPr>
        <w:t xml:space="preserve"> includes</w:t>
      </w:r>
      <w:r>
        <w:rPr>
          <w:rFonts w:ascii="Calibri" w:eastAsia="Noto Sans JP" w:hAnsi="Calibri" w:cs="Calibri"/>
          <w:sz w:val="22"/>
          <w:szCs w:val="22"/>
        </w:rPr>
        <w:t>:</w:t>
      </w:r>
    </w:p>
    <w:p w14:paraId="04560116"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an 8-inch widespread lavatory faucet</w:t>
      </w:r>
      <w:r w:rsidR="00E9439E" w:rsidRPr="00E9439E">
        <w:rPr>
          <w:rFonts w:ascii="Calibri" w:eastAsia="Noto Sans JP" w:hAnsi="Calibri" w:cs="Calibri"/>
          <w:sz w:val="22"/>
          <w:szCs w:val="22"/>
        </w:rPr>
        <w:t>;</w:t>
      </w:r>
    </w:p>
    <w:p w14:paraId="5AB24A0E"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a monohole lavatory faucet</w:t>
      </w:r>
      <w:r w:rsidR="00E9439E" w:rsidRPr="00E9439E">
        <w:rPr>
          <w:rFonts w:ascii="Calibri" w:eastAsia="Noto Sans JP" w:hAnsi="Calibri" w:cs="Calibri"/>
          <w:sz w:val="22"/>
          <w:szCs w:val="22"/>
        </w:rPr>
        <w:t>;</w:t>
      </w:r>
    </w:p>
    <w:p w14:paraId="5C67A5BD"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a 3-piece roman bathtub faucet</w:t>
      </w:r>
      <w:r w:rsidR="00E9439E" w:rsidRPr="00E9439E">
        <w:rPr>
          <w:rFonts w:ascii="Calibri" w:eastAsia="Noto Sans JP" w:hAnsi="Calibri" w:cs="Calibri"/>
          <w:sz w:val="22"/>
          <w:szCs w:val="22"/>
        </w:rPr>
        <w:t>;</w:t>
      </w:r>
    </w:p>
    <w:p w14:paraId="7B550640"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a floor-mounted tub filler</w:t>
      </w:r>
      <w:r w:rsidR="00E9439E" w:rsidRPr="00E9439E">
        <w:rPr>
          <w:rFonts w:ascii="Calibri" w:eastAsia="Noto Sans JP" w:hAnsi="Calibri" w:cs="Calibri"/>
          <w:sz w:val="22"/>
          <w:szCs w:val="22"/>
        </w:rPr>
        <w:t>;</w:t>
      </w:r>
    </w:p>
    <w:p w14:paraId="5FFE5B21" w14:textId="4935A5F4" w:rsidR="00E9439E" w:rsidRPr="00E9439E" w:rsidRDefault="007C6028" w:rsidP="00E9439E">
      <w:pPr>
        <w:pStyle w:val="ListParagraph"/>
        <w:numPr>
          <w:ilvl w:val="0"/>
          <w:numId w:val="2"/>
        </w:numPr>
        <w:spacing w:after="200"/>
        <w:ind w:left="-810" w:right="-821"/>
        <w:rPr>
          <w:rFonts w:ascii="Calibri" w:eastAsia="Noto Sans JP" w:hAnsi="Calibri" w:cs="Calibri"/>
          <w:sz w:val="22"/>
          <w:szCs w:val="22"/>
        </w:rPr>
      </w:pPr>
      <w:r w:rsidRPr="00E9439E">
        <w:rPr>
          <w:rFonts w:ascii="Calibri" w:eastAsia="Noto Sans JP" w:hAnsi="Calibri" w:cs="Calibri"/>
          <w:sz w:val="22"/>
          <w:szCs w:val="22"/>
        </w:rPr>
        <w:t>shower kits</w:t>
      </w:r>
      <w:r w:rsidR="00E9439E">
        <w:rPr>
          <w:rFonts w:ascii="Calibri" w:eastAsia="Noto Sans JP" w:hAnsi="Calibri" w:cs="Calibri"/>
          <w:sz w:val="22"/>
          <w:szCs w:val="22"/>
        </w:rPr>
        <w:t xml:space="preserve"> </w:t>
      </w:r>
      <w:r w:rsidRPr="00E9439E">
        <w:rPr>
          <w:rFonts w:ascii="Calibri" w:eastAsia="Noto Sans JP" w:hAnsi="Calibri" w:cs="Calibri"/>
          <w:sz w:val="22"/>
          <w:szCs w:val="22"/>
        </w:rPr>
        <w:t xml:space="preserve">and matching accessories. </w:t>
      </w:r>
    </w:p>
    <w:p w14:paraId="4C07E1D2" w14:textId="07DDB892"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The monohole faucet features side-mounted volume control, helping reduce water buildup on the top of the spout while preserving its minimal profile.</w:t>
      </w:r>
    </w:p>
    <w:p w14:paraId="656F20BC" w14:textId="77777777"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The collection also includes universal pop-down drains in matching finishes, designed to sit flush when open and recessed when closed for a cleaner, more integrated basin look.</w:t>
      </w:r>
    </w:p>
    <w:p w14:paraId="7347B844" w14:textId="782A4C5D"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The shower offering includes thermostatic and pressure-balanced shower kits, two-way diverters, and a thermostatic option with push-button activation. The floor-mounted tub filler features a brass body, pressure balance, a temperature-limiting device, and automatic flow shut-off when cold water is interrupted. In addition, the tub filler offers an integrated diverter for a more refined design.</w:t>
      </w:r>
    </w:p>
    <w:p w14:paraId="2174FF18" w14:textId="77777777"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 xml:space="preserve">“Symbio builds on the design exploration we introduced with Ora, while expanding it into a complete bathroom collection,” says </w:t>
      </w:r>
      <w:r w:rsidRPr="007C6028">
        <w:rPr>
          <w:rFonts w:ascii="Calibri" w:eastAsia="Noto Sans JP" w:hAnsi="Calibri" w:cs="Calibri"/>
          <w:b/>
          <w:bCs/>
          <w:sz w:val="22"/>
          <w:szCs w:val="22"/>
        </w:rPr>
        <w:t>Marc Fortin, Product Director at Bélanger</w:t>
      </w:r>
      <w:r w:rsidRPr="007C6028">
        <w:rPr>
          <w:rFonts w:ascii="Calibri" w:eastAsia="Noto Sans JP" w:hAnsi="Calibri" w:cs="Calibri"/>
          <w:sz w:val="22"/>
          <w:szCs w:val="22"/>
        </w:rPr>
        <w:t>. “The dual-finish details and channeling design give the collection a refined identity, while the full-brass construction and thoughtful functionality support everyday performance.”</w:t>
      </w:r>
    </w:p>
    <w:p w14:paraId="7D0B98EE" w14:textId="32FC09B8" w:rsidR="00E9439E" w:rsidRPr="00E9439E" w:rsidRDefault="00E9439E" w:rsidP="00E9439E">
      <w:pPr>
        <w:spacing w:after="200"/>
        <w:ind w:left="-1170" w:right="-825"/>
        <w:jc w:val="center"/>
        <w:rPr>
          <w:rFonts w:ascii="Calibri" w:eastAsia="Noto Sans JP" w:hAnsi="Calibri" w:cs="Calibri"/>
          <w:b/>
          <w:bCs/>
          <w:color w:val="808080" w:themeColor="background1" w:themeShade="80"/>
          <w:sz w:val="20"/>
          <w:szCs w:val="20"/>
        </w:rPr>
      </w:pPr>
      <w:r>
        <w:rPr>
          <w:rFonts w:ascii="Calibri" w:eastAsia="Noto Sans JP" w:hAnsi="Calibri" w:cs="Calibri"/>
          <w:b/>
          <w:bCs/>
          <w:color w:val="808080" w:themeColor="background1" w:themeShade="80"/>
          <w:sz w:val="20"/>
          <w:szCs w:val="20"/>
        </w:rPr>
        <w:t>m</w:t>
      </w:r>
      <w:r w:rsidRPr="00E9439E">
        <w:rPr>
          <w:rFonts w:ascii="Calibri" w:eastAsia="Noto Sans JP" w:hAnsi="Calibri" w:cs="Calibri"/>
          <w:b/>
          <w:bCs/>
          <w:color w:val="808080" w:themeColor="background1" w:themeShade="80"/>
          <w:sz w:val="20"/>
          <w:szCs w:val="20"/>
        </w:rPr>
        <w:t>ore on next page</w:t>
      </w:r>
    </w:p>
    <w:p w14:paraId="163A6474" w14:textId="4D39D5F0" w:rsidR="00E9439E" w:rsidRPr="00E9439E" w:rsidRDefault="00E9439E" w:rsidP="007C6028">
      <w:pPr>
        <w:spacing w:after="200"/>
        <w:ind w:left="-1170" w:right="-825"/>
        <w:rPr>
          <w:rFonts w:ascii="Calibri" w:eastAsia="Noto Sans JP" w:hAnsi="Calibri" w:cs="Calibri"/>
          <w:sz w:val="20"/>
          <w:szCs w:val="20"/>
        </w:rPr>
      </w:pPr>
      <w:r>
        <w:rPr>
          <w:rFonts w:ascii="Calibri" w:eastAsia="Noto Sans JP" w:hAnsi="Calibri" w:cs="Calibri"/>
          <w:b/>
          <w:bCs/>
        </w:rPr>
        <w:lastRenderedPageBreak/>
        <w:t xml:space="preserve">Press Release: Symbio Bathroom Collection, </w:t>
      </w:r>
      <w:r>
        <w:rPr>
          <w:rFonts w:ascii="Calibri" w:eastAsia="Noto Sans JP" w:hAnsi="Calibri" w:cs="Calibri"/>
          <w:sz w:val="20"/>
          <w:szCs w:val="20"/>
        </w:rPr>
        <w:t>continued</w:t>
      </w:r>
    </w:p>
    <w:p w14:paraId="2661178C" w14:textId="38FE7E27" w:rsidR="007C6028" w:rsidRDefault="007C6028" w:rsidP="007C6028">
      <w:pPr>
        <w:spacing w:after="200"/>
        <w:ind w:left="-1170" w:right="-825"/>
        <w:rPr>
          <w:rFonts w:ascii="Calibri" w:eastAsia="Noto Sans JP" w:hAnsi="Calibri" w:cs="Calibri"/>
          <w:sz w:val="22"/>
          <w:szCs w:val="22"/>
        </w:rPr>
      </w:pPr>
      <w:r w:rsidRPr="007C6028">
        <w:rPr>
          <w:rFonts w:ascii="Calibri" w:eastAsia="Noto Sans JP" w:hAnsi="Calibri" w:cs="Calibri"/>
          <w:sz w:val="22"/>
          <w:szCs w:val="22"/>
        </w:rPr>
        <w:t>As a complete bathroom collection, Symbio reflects Bélanger’s commitment to balancing design, durability, and ease of use. From faucets and shower systems to coordinated drains and accessories, Symbio offers a cohesive bathroom solution for homeowners, designers, and trade professionals.</w:t>
      </w:r>
    </w:p>
    <w:p w14:paraId="09515CED" w14:textId="4D99F537" w:rsidR="00FB1F89" w:rsidRPr="004C700A" w:rsidRDefault="008217DC" w:rsidP="007C6028">
      <w:pPr>
        <w:spacing w:after="200"/>
        <w:ind w:left="-1170" w:right="-825"/>
        <w:jc w:val="center"/>
        <w:rPr>
          <w:rFonts w:ascii="Calibri" w:eastAsia="Noto Sans JP" w:hAnsi="Calibri" w:cs="Calibri"/>
          <w:sz w:val="22"/>
          <w:szCs w:val="22"/>
        </w:rPr>
      </w:pPr>
      <w:r w:rsidRPr="004C700A">
        <w:rPr>
          <w:rFonts w:ascii="Calibri" w:eastAsia="Noto Sans JP" w:hAnsi="Calibri" w:cs="Calibri"/>
          <w:sz w:val="22"/>
          <w:szCs w:val="22"/>
        </w:rPr>
        <w:t># # #</w:t>
      </w:r>
    </w:p>
    <w:p w14:paraId="1166A9CC" w14:textId="77777777" w:rsidR="00FB1F89" w:rsidRPr="006152B4"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Noto Sans JP" w:hAnsi="Calibri" w:cs="Calibri"/>
          <w:color w:val="808080" w:themeColor="background1" w:themeShade="80"/>
          <w:sz w:val="20"/>
          <w:szCs w:val="20"/>
        </w:rPr>
      </w:pPr>
      <w:r w:rsidRPr="006152B4">
        <w:rPr>
          <w:rFonts w:ascii="Calibri" w:eastAsia="Noto Sans JP" w:hAnsi="Calibri" w:cs="Calibri"/>
          <w:b/>
          <w:bCs/>
          <w:color w:val="808080" w:themeColor="background1" w:themeShade="80"/>
          <w:sz w:val="21"/>
          <w:szCs w:val="21"/>
        </w:rPr>
        <w:t xml:space="preserve">ABOUT BÉLANGER </w:t>
      </w:r>
    </w:p>
    <w:p w14:paraId="2A8CA557" w14:textId="77777777" w:rsidR="00FB1F89" w:rsidRPr="004C700A"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Noto Sans JP" w:hAnsi="Calibri" w:cs="Calibri"/>
          <w:sz w:val="20"/>
          <w:szCs w:val="20"/>
        </w:rPr>
      </w:pPr>
      <w:r w:rsidRPr="004C700A">
        <w:rPr>
          <w:rFonts w:ascii="Calibri" w:eastAsia="Noto Sans JP" w:hAnsi="Calibri" w:cs="Calibri"/>
          <w:sz w:val="20"/>
          <w:szCs w:val="20"/>
        </w:rPr>
        <w:t xml:space="preserve">Founded in 1966, Bélanger, a renowned brand in the faucet industry, part of the Oatey and Tubular Industries of Canada family of brands, is dedicated to creating timeless collections that blend global trends with local craftsmanship. With nearly 60 years of expertise and a reputation for superior quality, Bélanger offers elegant, minimalist designs that enhance any décor. Our products, designed for ease of use and long-lasting performance, are a testament to Canadian engineering and meticulous attention to detail. </w:t>
      </w:r>
    </w:p>
    <w:p w14:paraId="70AFD737" w14:textId="77777777" w:rsidR="00FB1F89" w:rsidRPr="004C700A"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Noto Sans JP" w:hAnsi="Calibri" w:cs="Calibri"/>
          <w:sz w:val="20"/>
          <w:szCs w:val="20"/>
        </w:rPr>
      </w:pPr>
      <w:r w:rsidRPr="004C700A">
        <w:rPr>
          <w:rFonts w:ascii="Calibri" w:eastAsia="Noto Sans JP" w:hAnsi="Calibri" w:cs="Calibri"/>
          <w:sz w:val="20"/>
          <w:szCs w:val="20"/>
        </w:rPr>
        <w:t xml:space="preserve">Bélanger is based in Saint-Laurent, Quebec. For more information, visit  </w:t>
      </w:r>
      <w:hyperlink r:id="rId8">
        <w:r w:rsidRPr="004C700A">
          <w:rPr>
            <w:rFonts w:ascii="Calibri" w:eastAsia="Noto Sans JP" w:hAnsi="Calibri" w:cs="Calibri"/>
            <w:color w:val="989E95"/>
            <w:sz w:val="20"/>
            <w:szCs w:val="20"/>
            <w:u w:val="single"/>
          </w:rPr>
          <w:t>www.belangerfaucets.com</w:t>
        </w:r>
      </w:hyperlink>
      <w:r w:rsidRPr="004C700A">
        <w:rPr>
          <w:rFonts w:ascii="Calibri" w:eastAsia="Noto Sans JP" w:hAnsi="Calibri" w:cs="Calibri"/>
          <w:sz w:val="20"/>
          <w:szCs w:val="20"/>
        </w:rPr>
        <w:t xml:space="preserve">,  call +1 (800) 361 5960, or follow Bélanger on </w:t>
      </w:r>
      <w:hyperlink r:id="rId9">
        <w:r w:rsidRPr="004C700A">
          <w:rPr>
            <w:rFonts w:ascii="Calibri" w:eastAsia="Noto Sans JP" w:hAnsi="Calibri" w:cs="Calibri"/>
            <w:color w:val="989E95"/>
            <w:sz w:val="20"/>
            <w:szCs w:val="20"/>
            <w:u w:val="single"/>
          </w:rPr>
          <w:t>Facebook</w:t>
        </w:r>
      </w:hyperlink>
      <w:r w:rsidRPr="004C700A">
        <w:rPr>
          <w:rFonts w:ascii="Calibri" w:eastAsia="Noto Sans JP" w:hAnsi="Calibri" w:cs="Calibri"/>
          <w:sz w:val="20"/>
          <w:szCs w:val="20"/>
        </w:rPr>
        <w:t xml:space="preserve">, </w:t>
      </w:r>
      <w:hyperlink r:id="rId10">
        <w:r w:rsidRPr="004C700A">
          <w:rPr>
            <w:rFonts w:ascii="Calibri" w:eastAsia="Noto Sans JP" w:hAnsi="Calibri" w:cs="Calibri"/>
            <w:color w:val="989E95"/>
            <w:sz w:val="20"/>
            <w:szCs w:val="20"/>
            <w:u w:val="single"/>
          </w:rPr>
          <w:t>Instagram</w:t>
        </w:r>
      </w:hyperlink>
      <w:r w:rsidRPr="004C700A">
        <w:rPr>
          <w:rFonts w:ascii="Calibri" w:eastAsia="Noto Sans JP" w:hAnsi="Calibri" w:cs="Calibri"/>
          <w:sz w:val="20"/>
          <w:szCs w:val="20"/>
        </w:rPr>
        <w:t xml:space="preserve">, </w:t>
      </w:r>
      <w:hyperlink r:id="rId11">
        <w:r w:rsidRPr="004C700A">
          <w:rPr>
            <w:rFonts w:ascii="Calibri" w:eastAsia="Noto Sans JP" w:hAnsi="Calibri" w:cs="Calibri"/>
            <w:color w:val="989E95"/>
            <w:sz w:val="20"/>
            <w:szCs w:val="20"/>
            <w:u w:val="single"/>
          </w:rPr>
          <w:t>YouTube</w:t>
        </w:r>
      </w:hyperlink>
      <w:r w:rsidRPr="004C700A">
        <w:rPr>
          <w:rFonts w:ascii="Calibri" w:eastAsia="Noto Sans JP" w:hAnsi="Calibri" w:cs="Calibri"/>
          <w:sz w:val="20"/>
          <w:szCs w:val="20"/>
        </w:rPr>
        <w:t xml:space="preserve">, </w:t>
      </w:r>
      <w:hyperlink r:id="rId12">
        <w:r w:rsidRPr="004C700A">
          <w:rPr>
            <w:rFonts w:ascii="Calibri" w:eastAsia="Noto Sans JP" w:hAnsi="Calibri" w:cs="Calibri"/>
            <w:color w:val="989E95"/>
            <w:sz w:val="20"/>
            <w:szCs w:val="20"/>
            <w:u w:val="single"/>
          </w:rPr>
          <w:t>Pinterest</w:t>
        </w:r>
      </w:hyperlink>
      <w:r w:rsidRPr="004C700A">
        <w:rPr>
          <w:rFonts w:ascii="Calibri" w:eastAsia="Noto Sans JP" w:hAnsi="Calibri" w:cs="Calibri"/>
          <w:sz w:val="20"/>
          <w:szCs w:val="20"/>
        </w:rPr>
        <w:t xml:space="preserve"> or </w:t>
      </w:r>
      <w:hyperlink r:id="rId13">
        <w:r w:rsidRPr="004C700A">
          <w:rPr>
            <w:rFonts w:ascii="Calibri" w:eastAsia="Noto Sans JP" w:hAnsi="Calibri" w:cs="Calibri"/>
            <w:color w:val="989E95"/>
            <w:sz w:val="20"/>
            <w:szCs w:val="20"/>
            <w:u w:val="single"/>
          </w:rPr>
          <w:t>LinkedIn</w:t>
        </w:r>
      </w:hyperlink>
      <w:r w:rsidRPr="004C700A">
        <w:rPr>
          <w:rFonts w:ascii="Calibri" w:eastAsia="Noto Sans JP" w:hAnsi="Calibri" w:cs="Calibri"/>
          <w:sz w:val="20"/>
          <w:szCs w:val="20"/>
        </w:rPr>
        <w:t>.</w:t>
      </w:r>
    </w:p>
    <w:p w14:paraId="24E0464E" w14:textId="3BEA85DB" w:rsidR="00FB1F89" w:rsidRPr="004C700A"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Calibri" w:hAnsi="Calibri" w:cs="Calibri"/>
        </w:rPr>
      </w:pPr>
      <w:r w:rsidRPr="004C700A">
        <w:rPr>
          <w:rFonts w:ascii="Calibri" w:eastAsia="Noto Sans JP" w:hAnsi="Calibri" w:cs="Calibri"/>
          <w:sz w:val="20"/>
          <w:szCs w:val="20"/>
        </w:rPr>
        <w:t>Oatey is based in Cleveland, Ohio, and has locations in the United States, Canada (including Tubular Industries of Canada), Mexico</w:t>
      </w:r>
      <w:r w:rsidR="00CD7BC7">
        <w:rPr>
          <w:rFonts w:ascii="Calibri" w:eastAsia="Noto Sans JP" w:hAnsi="Calibri" w:cs="Calibri"/>
          <w:sz w:val="20"/>
          <w:szCs w:val="20"/>
        </w:rPr>
        <w:t>,</w:t>
      </w:r>
      <w:r w:rsidRPr="004C700A">
        <w:rPr>
          <w:rFonts w:ascii="Calibri" w:eastAsia="Noto Sans JP" w:hAnsi="Calibri" w:cs="Calibri"/>
          <w:sz w:val="20"/>
          <w:szCs w:val="20"/>
        </w:rPr>
        <w:t xml:space="preserve"> and China. For more information, visit </w:t>
      </w:r>
      <w:hyperlink r:id="rId14" w:history="1">
        <w:r w:rsidRPr="004C700A">
          <w:rPr>
            <w:rStyle w:val="Hyperlink"/>
            <w:rFonts w:ascii="Calibri" w:eastAsia="Noto Sans JP" w:hAnsi="Calibri" w:cs="Calibri"/>
            <w:sz w:val="20"/>
            <w:szCs w:val="20"/>
          </w:rPr>
          <w:t>www.oatey.com</w:t>
        </w:r>
      </w:hyperlink>
      <w:r w:rsidRPr="004C700A">
        <w:rPr>
          <w:rFonts w:ascii="Calibri" w:eastAsia="Noto Sans JP" w:hAnsi="Calibri" w:cs="Calibri"/>
          <w:sz w:val="20"/>
          <w:szCs w:val="20"/>
        </w:rPr>
        <w:t>.</w:t>
      </w:r>
    </w:p>
    <w:sectPr w:rsidR="00FB1F89" w:rsidRPr="004C700A">
      <w:headerReference w:type="default" r:id="rId15"/>
      <w:pgSz w:w="12240" w:h="15840"/>
      <w:pgMar w:top="2665" w:right="2041" w:bottom="2098" w:left="238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44809B" w14:textId="77777777" w:rsidR="000F5D0A" w:rsidRDefault="000F5D0A">
      <w:r>
        <w:separator/>
      </w:r>
    </w:p>
  </w:endnote>
  <w:endnote w:type="continuationSeparator" w:id="0">
    <w:p w14:paraId="22C48399" w14:textId="77777777" w:rsidR="000F5D0A" w:rsidRDefault="000F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290038F-59A0-CC44-8776-9AD91B73F35D}"/>
  </w:font>
  <w:font w:name="Times New Roman">
    <w:panose1 w:val="02020603050405020304"/>
    <w:charset w:val="00"/>
    <w:family w:val="roman"/>
    <w:pitch w:val="variable"/>
    <w:sig w:usb0="E0002EFF" w:usb1="C000785B" w:usb2="00000009" w:usb3="00000000" w:csb0="000001FF" w:csb1="00000000"/>
    <w:embedRegular r:id="rId2" w:fontKey="{76A36B6E-45C7-1A4E-9327-C9D51FAC1575}"/>
    <w:embedBold r:id="rId3" w:fontKey="{15A55F3E-26C0-BB41-9DCC-6231E080F87D}"/>
    <w:embedItalic r:id="rId4" w:fontKey="{9D5166E3-32C6-524A-82FF-EF1423D2DC75}"/>
  </w:font>
  <w:font w:name="Courier New">
    <w:panose1 w:val="02070309020205020404"/>
    <w:charset w:val="00"/>
    <w:family w:val="modern"/>
    <w:pitch w:val="fixed"/>
    <w:sig w:usb0="E0002EFF" w:usb1="C0007843" w:usb2="00000009" w:usb3="00000000" w:csb0="000001FF" w:csb1="00000000"/>
    <w:embedRegular r:id="rId5" w:fontKey="{A5FE627A-169D-4E48-B168-2D763842D98D}"/>
  </w:font>
  <w:font w:name="Wingdings">
    <w:panose1 w:val="05000000000000000000"/>
    <w:charset w:val="4D"/>
    <w:family w:val="decorative"/>
    <w:pitch w:val="variable"/>
    <w:sig w:usb0="00000003" w:usb1="00000000" w:usb2="00000000" w:usb3="00000000" w:csb0="80000001" w:csb1="00000000"/>
    <w:embedRegular r:id="rId6" w:fontKey="{8890F19D-858B-6743-A68C-D8FD9EBDAACC}"/>
  </w:font>
  <w:font w:name="Aptos">
    <w:panose1 w:val="020B0004020202020204"/>
    <w:charset w:val="00"/>
    <w:family w:val="swiss"/>
    <w:pitch w:val="variable"/>
    <w:sig w:usb0="20000287" w:usb1="00000003" w:usb2="00000000" w:usb3="00000000" w:csb0="0000019F" w:csb1="00000000"/>
    <w:embedRegular r:id="rId7" w:fontKey="{39785065-3E27-CB4E-BB1A-895F5132B60E}"/>
    <w:embedItalic r:id="rId8" w:fontKey="{6260568C-6792-B04C-824C-D446FE135AC2}"/>
  </w:font>
  <w:font w:name="Play">
    <w:altName w:val="Calibri"/>
    <w:panose1 w:val="020B0604020202020204"/>
    <w:charset w:val="4D"/>
    <w:family w:val="decorativ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embedRegular r:id="rId9" w:fontKey="{B0419ACC-B000-AD4D-99CD-B3E6DF8DA67D}"/>
  </w:font>
  <w:font w:name="Calibri">
    <w:panose1 w:val="020F0502020204030204"/>
    <w:charset w:val="00"/>
    <w:family w:val="swiss"/>
    <w:pitch w:val="variable"/>
    <w:sig w:usb0="E4002EFF" w:usb1="C200247B" w:usb2="00000009" w:usb3="00000000" w:csb0="000001FF" w:csb1="00000000"/>
    <w:embedRegular r:id="rId10" w:fontKey="{EC705DF0-F307-464F-AA75-95648A881141}"/>
    <w:embedBold r:id="rId11" w:fontKey="{68FDB66E-D3B8-3C43-8541-403562DB884D}"/>
  </w:font>
  <w:font w:name="Noto Sans JP">
    <w:panose1 w:val="020B0604020202020204"/>
    <w:charset w:val="00"/>
    <w:family w:val="auto"/>
    <w:pitch w:val="default"/>
    <w:embedRegular r:id="rId12" w:fontKey="{6563DB48-E7A0-AA41-BC80-82751153AAE4}"/>
    <w:embedBold r:id="rId13" w:fontKey="{DAB178AD-06A8-D644-83CF-B884365D7A8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063536" w14:textId="77777777" w:rsidR="000F5D0A" w:rsidRDefault="000F5D0A">
      <w:r>
        <w:separator/>
      </w:r>
    </w:p>
  </w:footnote>
  <w:footnote w:type="continuationSeparator" w:id="0">
    <w:p w14:paraId="0989D1D5" w14:textId="77777777" w:rsidR="000F5D0A" w:rsidRDefault="000F5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CE14EE" w14:textId="77777777" w:rsidR="00FB1F89" w:rsidRDefault="008217DC">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58240" behindDoc="1" locked="0" layoutInCell="1" hidden="0" allowOverlap="1" wp14:anchorId="61D73BC7" wp14:editId="191D20E7">
          <wp:simplePos x="0" y="0"/>
          <wp:positionH relativeFrom="page">
            <wp:posOffset>487680</wp:posOffset>
          </wp:positionH>
          <wp:positionV relativeFrom="page">
            <wp:posOffset>449580</wp:posOffset>
          </wp:positionV>
          <wp:extent cx="6800400" cy="9172800"/>
          <wp:effectExtent l="0" t="0" r="0" b="0"/>
          <wp:wrapNone/>
          <wp:docPr id="1963582134" name="image1.jpg" descr="A white background with black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white background with black dots&#10;&#10;Description automatically generated"/>
                  <pic:cNvPicPr preferRelativeResize="0"/>
                </pic:nvPicPr>
                <pic:blipFill>
                  <a:blip r:embed="rId1"/>
                  <a:srcRect/>
                  <a:stretch>
                    <a:fillRect/>
                  </a:stretch>
                </pic:blipFill>
                <pic:spPr>
                  <a:xfrm>
                    <a:off x="0" y="0"/>
                    <a:ext cx="6800400" cy="9172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F6281"/>
    <w:multiLevelType w:val="hybridMultilevel"/>
    <w:tmpl w:val="47223BD4"/>
    <w:lvl w:ilvl="0" w:tplc="859AD744">
      <w:start w:val="1"/>
      <w:numFmt w:val="bullet"/>
      <w:lvlText w:val=""/>
      <w:lvlJc w:val="left"/>
      <w:pPr>
        <w:ind w:left="-446" w:hanging="360"/>
      </w:pPr>
      <w:rPr>
        <w:rFonts w:ascii="Symbol" w:hAnsi="Symbol" w:hint="default"/>
        <w:color w:val="808080" w:themeColor="background1" w:themeShade="80"/>
      </w:rPr>
    </w:lvl>
    <w:lvl w:ilvl="1" w:tplc="04090003" w:tentative="1">
      <w:start w:val="1"/>
      <w:numFmt w:val="bullet"/>
      <w:lvlText w:val="o"/>
      <w:lvlJc w:val="left"/>
      <w:pPr>
        <w:ind w:left="274" w:hanging="360"/>
      </w:pPr>
      <w:rPr>
        <w:rFonts w:ascii="Courier New" w:hAnsi="Courier New" w:cs="Courier New" w:hint="default"/>
      </w:rPr>
    </w:lvl>
    <w:lvl w:ilvl="2" w:tplc="04090005" w:tentative="1">
      <w:start w:val="1"/>
      <w:numFmt w:val="bullet"/>
      <w:lvlText w:val=""/>
      <w:lvlJc w:val="left"/>
      <w:pPr>
        <w:ind w:left="994" w:hanging="360"/>
      </w:pPr>
      <w:rPr>
        <w:rFonts w:ascii="Wingdings" w:hAnsi="Wingdings" w:hint="default"/>
      </w:rPr>
    </w:lvl>
    <w:lvl w:ilvl="3" w:tplc="04090001" w:tentative="1">
      <w:start w:val="1"/>
      <w:numFmt w:val="bullet"/>
      <w:lvlText w:val=""/>
      <w:lvlJc w:val="left"/>
      <w:pPr>
        <w:ind w:left="1714" w:hanging="360"/>
      </w:pPr>
      <w:rPr>
        <w:rFonts w:ascii="Symbol" w:hAnsi="Symbol" w:hint="default"/>
      </w:rPr>
    </w:lvl>
    <w:lvl w:ilvl="4" w:tplc="04090003" w:tentative="1">
      <w:start w:val="1"/>
      <w:numFmt w:val="bullet"/>
      <w:lvlText w:val="o"/>
      <w:lvlJc w:val="left"/>
      <w:pPr>
        <w:ind w:left="2434" w:hanging="360"/>
      </w:pPr>
      <w:rPr>
        <w:rFonts w:ascii="Courier New" w:hAnsi="Courier New" w:cs="Courier New" w:hint="default"/>
      </w:rPr>
    </w:lvl>
    <w:lvl w:ilvl="5" w:tplc="04090005" w:tentative="1">
      <w:start w:val="1"/>
      <w:numFmt w:val="bullet"/>
      <w:lvlText w:val=""/>
      <w:lvlJc w:val="left"/>
      <w:pPr>
        <w:ind w:left="3154" w:hanging="360"/>
      </w:pPr>
      <w:rPr>
        <w:rFonts w:ascii="Wingdings" w:hAnsi="Wingdings" w:hint="default"/>
      </w:rPr>
    </w:lvl>
    <w:lvl w:ilvl="6" w:tplc="04090001" w:tentative="1">
      <w:start w:val="1"/>
      <w:numFmt w:val="bullet"/>
      <w:lvlText w:val=""/>
      <w:lvlJc w:val="left"/>
      <w:pPr>
        <w:ind w:left="3874" w:hanging="360"/>
      </w:pPr>
      <w:rPr>
        <w:rFonts w:ascii="Symbol" w:hAnsi="Symbol" w:hint="default"/>
      </w:rPr>
    </w:lvl>
    <w:lvl w:ilvl="7" w:tplc="04090003" w:tentative="1">
      <w:start w:val="1"/>
      <w:numFmt w:val="bullet"/>
      <w:lvlText w:val="o"/>
      <w:lvlJc w:val="left"/>
      <w:pPr>
        <w:ind w:left="4594" w:hanging="360"/>
      </w:pPr>
      <w:rPr>
        <w:rFonts w:ascii="Courier New" w:hAnsi="Courier New" w:cs="Courier New" w:hint="default"/>
      </w:rPr>
    </w:lvl>
    <w:lvl w:ilvl="8" w:tplc="04090005" w:tentative="1">
      <w:start w:val="1"/>
      <w:numFmt w:val="bullet"/>
      <w:lvlText w:val=""/>
      <w:lvlJc w:val="left"/>
      <w:pPr>
        <w:ind w:left="5314" w:hanging="360"/>
      </w:pPr>
      <w:rPr>
        <w:rFonts w:ascii="Wingdings" w:hAnsi="Wingdings" w:hint="default"/>
      </w:rPr>
    </w:lvl>
  </w:abstractNum>
  <w:abstractNum w:abstractNumId="1" w15:restartNumberingAfterBreak="0">
    <w:nsid w:val="3CA2499C"/>
    <w:multiLevelType w:val="hybridMultilevel"/>
    <w:tmpl w:val="3A2C349E"/>
    <w:lvl w:ilvl="0" w:tplc="859AD744">
      <w:start w:val="1"/>
      <w:numFmt w:val="bullet"/>
      <w:lvlText w:val=""/>
      <w:lvlJc w:val="left"/>
      <w:pPr>
        <w:ind w:left="-1612" w:hanging="360"/>
      </w:pPr>
      <w:rPr>
        <w:rFonts w:ascii="Symbol" w:hAnsi="Symbol" w:hint="default"/>
        <w:color w:val="808080" w:themeColor="background1" w:themeShade="80"/>
      </w:rPr>
    </w:lvl>
    <w:lvl w:ilvl="1" w:tplc="04090003" w:tentative="1">
      <w:start w:val="1"/>
      <w:numFmt w:val="bullet"/>
      <w:lvlText w:val="o"/>
      <w:lvlJc w:val="left"/>
      <w:pPr>
        <w:ind w:left="274" w:hanging="360"/>
      </w:pPr>
      <w:rPr>
        <w:rFonts w:ascii="Courier New" w:hAnsi="Courier New" w:cs="Courier New" w:hint="default"/>
      </w:rPr>
    </w:lvl>
    <w:lvl w:ilvl="2" w:tplc="04090005" w:tentative="1">
      <w:start w:val="1"/>
      <w:numFmt w:val="bullet"/>
      <w:lvlText w:val=""/>
      <w:lvlJc w:val="left"/>
      <w:pPr>
        <w:ind w:left="994" w:hanging="360"/>
      </w:pPr>
      <w:rPr>
        <w:rFonts w:ascii="Wingdings" w:hAnsi="Wingdings" w:hint="default"/>
      </w:rPr>
    </w:lvl>
    <w:lvl w:ilvl="3" w:tplc="04090001" w:tentative="1">
      <w:start w:val="1"/>
      <w:numFmt w:val="bullet"/>
      <w:lvlText w:val=""/>
      <w:lvlJc w:val="left"/>
      <w:pPr>
        <w:ind w:left="1714" w:hanging="360"/>
      </w:pPr>
      <w:rPr>
        <w:rFonts w:ascii="Symbol" w:hAnsi="Symbol" w:hint="default"/>
      </w:rPr>
    </w:lvl>
    <w:lvl w:ilvl="4" w:tplc="04090003" w:tentative="1">
      <w:start w:val="1"/>
      <w:numFmt w:val="bullet"/>
      <w:lvlText w:val="o"/>
      <w:lvlJc w:val="left"/>
      <w:pPr>
        <w:ind w:left="2434" w:hanging="360"/>
      </w:pPr>
      <w:rPr>
        <w:rFonts w:ascii="Courier New" w:hAnsi="Courier New" w:cs="Courier New" w:hint="default"/>
      </w:rPr>
    </w:lvl>
    <w:lvl w:ilvl="5" w:tplc="04090005" w:tentative="1">
      <w:start w:val="1"/>
      <w:numFmt w:val="bullet"/>
      <w:lvlText w:val=""/>
      <w:lvlJc w:val="left"/>
      <w:pPr>
        <w:ind w:left="3154" w:hanging="360"/>
      </w:pPr>
      <w:rPr>
        <w:rFonts w:ascii="Wingdings" w:hAnsi="Wingdings" w:hint="default"/>
      </w:rPr>
    </w:lvl>
    <w:lvl w:ilvl="6" w:tplc="04090001" w:tentative="1">
      <w:start w:val="1"/>
      <w:numFmt w:val="bullet"/>
      <w:lvlText w:val=""/>
      <w:lvlJc w:val="left"/>
      <w:pPr>
        <w:ind w:left="3874" w:hanging="360"/>
      </w:pPr>
      <w:rPr>
        <w:rFonts w:ascii="Symbol" w:hAnsi="Symbol" w:hint="default"/>
      </w:rPr>
    </w:lvl>
    <w:lvl w:ilvl="7" w:tplc="04090003" w:tentative="1">
      <w:start w:val="1"/>
      <w:numFmt w:val="bullet"/>
      <w:lvlText w:val="o"/>
      <w:lvlJc w:val="left"/>
      <w:pPr>
        <w:ind w:left="4594" w:hanging="360"/>
      </w:pPr>
      <w:rPr>
        <w:rFonts w:ascii="Courier New" w:hAnsi="Courier New" w:cs="Courier New" w:hint="default"/>
      </w:rPr>
    </w:lvl>
    <w:lvl w:ilvl="8" w:tplc="04090005" w:tentative="1">
      <w:start w:val="1"/>
      <w:numFmt w:val="bullet"/>
      <w:lvlText w:val=""/>
      <w:lvlJc w:val="left"/>
      <w:pPr>
        <w:ind w:left="5314" w:hanging="360"/>
      </w:pPr>
      <w:rPr>
        <w:rFonts w:ascii="Wingdings" w:hAnsi="Wingdings" w:hint="default"/>
      </w:rPr>
    </w:lvl>
  </w:abstractNum>
  <w:num w:numId="1" w16cid:durableId="298263794">
    <w:abstractNumId w:val="0"/>
  </w:num>
  <w:num w:numId="2" w16cid:durableId="5126915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64"/>
  <w:embedTrueTypeFonts/>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F89"/>
    <w:rsid w:val="000F5D0A"/>
    <w:rsid w:val="00205247"/>
    <w:rsid w:val="004C700A"/>
    <w:rsid w:val="005D426D"/>
    <w:rsid w:val="006152B4"/>
    <w:rsid w:val="00662D12"/>
    <w:rsid w:val="006A2352"/>
    <w:rsid w:val="007626F9"/>
    <w:rsid w:val="007B4FD0"/>
    <w:rsid w:val="007C6028"/>
    <w:rsid w:val="008217DC"/>
    <w:rsid w:val="00A03AF4"/>
    <w:rsid w:val="00A20A89"/>
    <w:rsid w:val="00AF0710"/>
    <w:rsid w:val="00B61AA4"/>
    <w:rsid w:val="00BD30F8"/>
    <w:rsid w:val="00CD7BC7"/>
    <w:rsid w:val="00CF36FA"/>
    <w:rsid w:val="00D1386B"/>
    <w:rsid w:val="00DC0B66"/>
    <w:rsid w:val="00E9439E"/>
    <w:rsid w:val="00EC47AA"/>
    <w:rsid w:val="00FB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CE27"/>
  <w15:docId w15:val="{175E83F5-DFD9-4188-AF20-18062241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6D11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1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1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1"/>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D1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10D"/>
    <w:rPr>
      <w:rFonts w:eastAsiaTheme="majorEastAsia" w:cstheme="majorBidi"/>
      <w:color w:val="272727" w:themeColor="text1" w:themeTint="D8"/>
    </w:rPr>
  </w:style>
  <w:style w:type="character" w:customStyle="1" w:styleId="TitleChar">
    <w:name w:val="Title Char"/>
    <w:basedOn w:val="DefaultParagraphFont"/>
    <w:link w:val="Title"/>
    <w:uiPriority w:val="10"/>
    <w:rsid w:val="006D110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D1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1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110D"/>
    <w:rPr>
      <w:i/>
      <w:iCs/>
      <w:color w:val="404040" w:themeColor="text1" w:themeTint="BF"/>
    </w:rPr>
  </w:style>
  <w:style w:type="paragraph" w:styleId="ListParagraph">
    <w:name w:val="List Paragraph"/>
    <w:basedOn w:val="Normal"/>
    <w:uiPriority w:val="34"/>
    <w:qFormat/>
    <w:rsid w:val="006D110D"/>
    <w:pPr>
      <w:ind w:left="720"/>
      <w:contextualSpacing/>
    </w:pPr>
  </w:style>
  <w:style w:type="character" w:styleId="IntenseEmphasis">
    <w:name w:val="Intense Emphasis"/>
    <w:basedOn w:val="DefaultParagraphFont"/>
    <w:uiPriority w:val="21"/>
    <w:qFormat/>
    <w:rsid w:val="006D110D"/>
    <w:rPr>
      <w:i/>
      <w:iCs/>
      <w:color w:val="0F4761" w:themeColor="accent1" w:themeShade="BF"/>
    </w:rPr>
  </w:style>
  <w:style w:type="paragraph" w:styleId="IntenseQuote">
    <w:name w:val="Intense Quote"/>
    <w:basedOn w:val="Normal"/>
    <w:next w:val="Normal"/>
    <w:link w:val="IntenseQuoteChar"/>
    <w:uiPriority w:val="30"/>
    <w:qFormat/>
    <w:rsid w:val="006D1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10D"/>
    <w:rPr>
      <w:i/>
      <w:iCs/>
      <w:color w:val="0F4761" w:themeColor="accent1" w:themeShade="BF"/>
    </w:rPr>
  </w:style>
  <w:style w:type="character" w:styleId="IntenseReference">
    <w:name w:val="Intense Reference"/>
    <w:basedOn w:val="DefaultParagraphFont"/>
    <w:uiPriority w:val="32"/>
    <w:qFormat/>
    <w:rsid w:val="006D110D"/>
    <w:rPr>
      <w:b/>
      <w:bCs/>
      <w:smallCaps/>
      <w:color w:val="0F4761" w:themeColor="accent1" w:themeShade="BF"/>
      <w:spacing w:val="5"/>
    </w:rPr>
  </w:style>
  <w:style w:type="paragraph" w:styleId="Header">
    <w:name w:val="header"/>
    <w:basedOn w:val="Normal"/>
    <w:link w:val="HeaderChar"/>
    <w:uiPriority w:val="99"/>
    <w:unhideWhenUsed/>
    <w:rsid w:val="006D110D"/>
    <w:pPr>
      <w:tabs>
        <w:tab w:val="center" w:pos="4680"/>
        <w:tab w:val="right" w:pos="9360"/>
      </w:tabs>
    </w:pPr>
  </w:style>
  <w:style w:type="character" w:customStyle="1" w:styleId="HeaderChar">
    <w:name w:val="Header Char"/>
    <w:basedOn w:val="DefaultParagraphFont"/>
    <w:link w:val="Header"/>
    <w:uiPriority w:val="99"/>
    <w:rsid w:val="006D110D"/>
  </w:style>
  <w:style w:type="paragraph" w:styleId="Footer">
    <w:name w:val="footer"/>
    <w:basedOn w:val="Normal"/>
    <w:link w:val="FooterChar"/>
    <w:uiPriority w:val="99"/>
    <w:unhideWhenUsed/>
    <w:rsid w:val="006D110D"/>
    <w:pPr>
      <w:tabs>
        <w:tab w:val="center" w:pos="4680"/>
        <w:tab w:val="right" w:pos="9360"/>
      </w:tabs>
    </w:pPr>
  </w:style>
  <w:style w:type="character" w:customStyle="1" w:styleId="FooterChar">
    <w:name w:val="Footer Char"/>
    <w:basedOn w:val="DefaultParagraphFont"/>
    <w:link w:val="Footer"/>
    <w:uiPriority w:val="99"/>
    <w:rsid w:val="006D110D"/>
  </w:style>
  <w:style w:type="paragraph" w:styleId="Subtitle">
    <w:name w:val="Subtitle"/>
    <w:basedOn w:val="Normal"/>
    <w:next w:val="Normal"/>
    <w:link w:val="SubtitleChar"/>
    <w:uiPriority w:val="11"/>
    <w:qFormat/>
    <w:pPr>
      <w:spacing w:after="160"/>
    </w:pPr>
    <w:rPr>
      <w:color w:val="595959"/>
      <w:sz w:val="28"/>
      <w:szCs w:val="28"/>
    </w:rPr>
  </w:style>
  <w:style w:type="character" w:styleId="Hyperlink">
    <w:name w:val="Hyperlink"/>
    <w:basedOn w:val="DefaultParagraphFont"/>
    <w:uiPriority w:val="99"/>
    <w:unhideWhenUsed/>
    <w:rsid w:val="004C700A"/>
    <w:rPr>
      <w:color w:val="989E95"/>
      <w:u w:val="single"/>
    </w:rPr>
  </w:style>
  <w:style w:type="character" w:styleId="UnresolvedMention">
    <w:name w:val="Unresolved Mention"/>
    <w:basedOn w:val="DefaultParagraphFont"/>
    <w:uiPriority w:val="99"/>
    <w:semiHidden/>
    <w:unhideWhenUsed/>
    <w:rsid w:val="004C7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elangerfaucets.com/en" TargetMode="External"/><Relationship Id="rId13" Type="http://schemas.openxmlformats.org/officeDocument/2006/relationships/hyperlink" Target="https://www.linkedin.com/company/belangerfauce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interest.ca/belangerfauce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Belangerfauce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nstagram.com/belangerfaucets/" TargetMode="External"/><Relationship Id="rId4" Type="http://schemas.openxmlformats.org/officeDocument/2006/relationships/settings" Target="settings.xml"/><Relationship Id="rId9" Type="http://schemas.openxmlformats.org/officeDocument/2006/relationships/hyperlink" Target="https://www.facebook.com/belangerfaucets" TargetMode="External"/><Relationship Id="rId14" Type="http://schemas.openxmlformats.org/officeDocument/2006/relationships/hyperlink" Target="https://www.oatey.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BAIooMbJmrXKXT6+ESXpURjHVA==">CgMxLjA4AHIhMTdkbXo5VmNoODdVSkpFVk5QNGExNlBneXBraFZzTzRM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3145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rpolom</dc:creator>
  <cp:keywords/>
  <dc:description/>
  <cp:lastModifiedBy>Randy Baum</cp:lastModifiedBy>
  <cp:revision>2</cp:revision>
  <dcterms:created xsi:type="dcterms:W3CDTF">2026-07-30T21:42:00Z</dcterms:created>
  <dcterms:modified xsi:type="dcterms:W3CDTF">2026-07-30T21:42:00Z</dcterms:modified>
  <cp:category/>
</cp:coreProperties>
</file>